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EFD4A" w14:textId="77777777" w:rsidR="003C2763" w:rsidRDefault="00000000">
      <w:pPr>
        <w:pStyle w:val="LBBrand"/>
        <w:shd w:val="clear" w:color="auto" w:fill="0B1530"/>
        <w:spacing w:before="240"/>
        <w:ind w:left="200" w:right="200"/>
      </w:pPr>
      <w:r>
        <w:rPr>
          <w:color w:val="215CAF"/>
        </w:rPr>
        <w:t>LB Labs</w:t>
      </w:r>
    </w:p>
    <w:p w14:paraId="1557EF9B" w14:textId="77777777" w:rsidR="003C2763" w:rsidRDefault="00000000">
      <w:pPr>
        <w:pStyle w:val="LBHero"/>
        <w:shd w:val="clear" w:color="auto" w:fill="0B1530"/>
        <w:spacing w:before="40" w:after="40"/>
        <w:ind w:left="200" w:right="200"/>
      </w:pPr>
      <w:r>
        <w:t>Outbound AI Agents:</w:t>
      </w:r>
      <w:r>
        <w:br/>
        <w:t>Governance and Guardrails</w:t>
      </w:r>
    </w:p>
    <w:p w14:paraId="698FBA30" w14:textId="77777777" w:rsidR="003C2763" w:rsidRDefault="00000000">
      <w:pPr>
        <w:pStyle w:val="LBBody"/>
        <w:pBdr>
          <w:bottom w:val="single" w:sz="18" w:space="4" w:color="16D4FF"/>
        </w:pBdr>
        <w:shd w:val="clear" w:color="auto" w:fill="0B1530"/>
        <w:spacing w:after="280"/>
        <w:ind w:left="200" w:right="200"/>
      </w:pPr>
      <w:r>
        <w:rPr>
          <w:color w:val="FFFFFF"/>
        </w:rPr>
        <w:t>A practical framework for running compliant, brand-safe outbound campaigns with AI agents across voice, SMS and email.</w:t>
      </w:r>
    </w:p>
    <w:tbl>
      <w:tblPr>
        <w:tblStyle w:val="TableGrid"/>
        <w:tblW w:w="0" w:type="auto"/>
        <w:jc w:val="center"/>
        <w:tblBorders>
          <w:top w:val="single" w:sz="8" w:space="0" w:color="C7D3E3"/>
          <w:left w:val="single" w:sz="8" w:space="0" w:color="C7D3E3"/>
          <w:bottom w:val="single" w:sz="8" w:space="0" w:color="C7D3E3"/>
          <w:right w:val="single" w:sz="8" w:space="0" w:color="C7D3E3"/>
          <w:insideH w:val="single" w:sz="8" w:space="0" w:color="C7D3E3"/>
          <w:insideV w:val="single" w:sz="8" w:space="0" w:color="C7D3E3"/>
        </w:tblBorders>
        <w:tblLayout w:type="fixed"/>
        <w:tblLook w:val="04A0" w:firstRow="1" w:lastRow="0" w:firstColumn="1" w:lastColumn="0" w:noHBand="0" w:noVBand="1"/>
      </w:tblPr>
      <w:tblGrid>
        <w:gridCol w:w="10200"/>
      </w:tblGrid>
      <w:tr w:rsidR="003C2763" w14:paraId="640875AE" w14:textId="77777777">
        <w:trPr>
          <w:jc w:val="center"/>
        </w:trPr>
        <w:tc>
          <w:tcPr>
            <w:tcW w:w="10200" w:type="dxa"/>
            <w:tcBorders>
              <w:top w:val="single" w:sz="10" w:space="0" w:color="16D4FF"/>
              <w:left w:val="single" w:sz="10" w:space="0" w:color="16D4FF"/>
              <w:bottom w:val="single" w:sz="10" w:space="0" w:color="16D4FF"/>
              <w:right w:val="single" w:sz="10" w:space="0" w:color="16D4FF"/>
            </w:tcBorders>
            <w:shd w:val="clear" w:color="auto" w:fill="F3F7FB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49E6BC12" w14:textId="77777777" w:rsidR="003C2763" w:rsidRDefault="00000000">
            <w:pPr>
              <w:pStyle w:val="LBH2"/>
            </w:pPr>
            <w:r>
              <w:t>What this guide is for</w:t>
            </w:r>
          </w:p>
          <w:p w14:paraId="33C9E950" w14:textId="77777777" w:rsidR="00EE7ABF" w:rsidRDefault="00000000">
            <w:pPr>
              <w:pStyle w:val="LBBody"/>
              <w:spacing w:before="40"/>
            </w:pPr>
            <w:r>
              <w:t>If you are using AI agents to prospect, follow up, re-engage, or qualify leads, the upside is speed and scale. The risk is simple: bad consent, weak oversight, and poor message control can damage brand trust, trigger complaints, and create compliance exposure.</w:t>
            </w:r>
            <w:r>
              <w:br/>
              <w:t>This playbook gives teams a simple operating standard before outbound AI goes live.</w:t>
            </w:r>
          </w:p>
        </w:tc>
      </w:tr>
    </w:tbl>
    <w:p w14:paraId="33978953" w14:textId="77777777" w:rsidR="003C2763" w:rsidRDefault="003C2763"/>
    <w:p w14:paraId="577C0B52" w14:textId="77777777" w:rsidR="003C2763" w:rsidRDefault="00000000">
      <w:pPr>
        <w:pStyle w:val="LBH1"/>
        <w:pBdr>
          <w:bottom w:val="single" w:sz="6" w:space="4" w:color="9ED8E6"/>
        </w:pBdr>
      </w:pPr>
      <w:r>
        <w:t>Five non-negotiables</w:t>
      </w:r>
    </w:p>
    <w:p w14:paraId="4CCB1E48" w14:textId="77777777" w:rsidR="003C2763" w:rsidRDefault="00000000">
      <w:pPr>
        <w:pStyle w:val="LBBody"/>
        <w:spacing w:after="60"/>
        <w:ind w:left="113"/>
      </w:pPr>
      <w:r>
        <w:rPr>
          <w:b/>
          <w:color w:val="12233D"/>
        </w:rPr>
        <w:t xml:space="preserve">1. Consent comes first — </w:t>
      </w:r>
      <w:r>
        <w:t>Do not let AI contact people unless you can prove the list, permissions, and contact rules are valid.</w:t>
      </w:r>
    </w:p>
    <w:p w14:paraId="275593AA" w14:textId="77777777" w:rsidR="003C2763" w:rsidRDefault="00000000">
      <w:pPr>
        <w:pStyle w:val="LBBody"/>
        <w:spacing w:after="60"/>
        <w:ind w:left="113"/>
      </w:pPr>
      <w:r>
        <w:rPr>
          <w:b/>
          <w:color w:val="12233D"/>
        </w:rPr>
        <w:t xml:space="preserve">2. One owner is accountable — </w:t>
      </w:r>
      <w:r>
        <w:t>Someone on the business side must own the campaign, approvals, complaints, and stop decisions.</w:t>
      </w:r>
    </w:p>
    <w:p w14:paraId="190E9CA1" w14:textId="77777777" w:rsidR="003C2763" w:rsidRDefault="00000000">
      <w:pPr>
        <w:pStyle w:val="LBBody"/>
        <w:spacing w:after="60"/>
        <w:ind w:left="113"/>
      </w:pPr>
      <w:r>
        <w:rPr>
          <w:b/>
          <w:color w:val="12233D"/>
        </w:rPr>
        <w:t xml:space="preserve">3. AI must stay on-script — </w:t>
      </w:r>
      <w:r>
        <w:t>Every outbound flow needs approved messaging, escalation rules, and off-limits topics.</w:t>
      </w:r>
    </w:p>
    <w:p w14:paraId="609B84FC" w14:textId="77777777" w:rsidR="003C2763" w:rsidRDefault="00000000">
      <w:pPr>
        <w:pStyle w:val="LBBody"/>
        <w:spacing w:after="60"/>
        <w:ind w:left="113"/>
      </w:pPr>
      <w:r>
        <w:rPr>
          <w:b/>
          <w:color w:val="12233D"/>
        </w:rPr>
        <w:t xml:space="preserve">4. Humans stay in control — </w:t>
      </w:r>
      <w:r>
        <w:t>High-risk replies, edge cases, and complaints should route to a human quickly.</w:t>
      </w:r>
    </w:p>
    <w:p w14:paraId="49498FBD" w14:textId="77777777" w:rsidR="003C2763" w:rsidRDefault="00000000">
      <w:pPr>
        <w:pStyle w:val="LBBody"/>
        <w:spacing w:after="60"/>
        <w:ind w:left="113"/>
      </w:pPr>
      <w:r>
        <w:rPr>
          <w:b/>
          <w:color w:val="12233D"/>
        </w:rPr>
        <w:t xml:space="preserve">5. Audit everything — </w:t>
      </w:r>
      <w:r>
        <w:t>Keep logs for source lists, consent status, prompts, message variants, approvals, and outcomes.</w:t>
      </w:r>
    </w:p>
    <w:p w14:paraId="261C177C" w14:textId="77777777" w:rsidR="003C2763" w:rsidRDefault="00000000">
      <w:pPr>
        <w:pStyle w:val="LBH1"/>
        <w:pBdr>
          <w:bottom w:val="single" w:sz="6" w:space="4" w:color="9ED8E6"/>
        </w:pBdr>
      </w:pPr>
      <w:r>
        <w:t>1. Campaign objective and fit</w:t>
      </w:r>
    </w:p>
    <w:p w14:paraId="1EBDB10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Define exactly what the AI agent is trying to do: book a call, recover old leads, confirm interest, qualify demand, or move prospects to a human.</w:t>
      </w:r>
    </w:p>
    <w:p w14:paraId="6E3C8612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Limit the first use case. Broad, multi-purpose outbound campaigns create more risk and weaker reporting.</w:t>
      </w:r>
    </w:p>
    <w:p w14:paraId="22F05368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Do not launch outbound AI just because it is technically possible. Launch it because there is a clear revenue case and a clear operational use case.</w:t>
      </w:r>
    </w:p>
    <w:p w14:paraId="78BC81C9" w14:textId="77777777" w:rsidR="003C2763" w:rsidRDefault="00000000">
      <w:pPr>
        <w:pStyle w:val="LBH1"/>
        <w:pBdr>
          <w:bottom w:val="single" w:sz="6" w:space="4" w:color="9ED8E6"/>
        </w:pBdr>
      </w:pPr>
      <w:r>
        <w:t>2. Audience, list quality and consent</w:t>
      </w:r>
    </w:p>
    <w:p w14:paraId="72CC0762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Record where every contact came from, what they consented to, when they consented, and which channels they agreed to.</w:t>
      </w:r>
    </w:p>
    <w:p w14:paraId="1844351D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Before launch, verify your suppression rules, unsubscribe logic, and list hygiene. Poor list quality will hurt both performance and brand trust.</w:t>
      </w:r>
    </w:p>
    <w:p w14:paraId="0BB64C6A" w14:textId="77777777" w:rsidR="003C2763" w:rsidRDefault="00000000">
      <w:pPr>
        <w:pStyle w:val="LBBody"/>
        <w:spacing w:after="40"/>
        <w:ind w:left="170"/>
      </w:pPr>
      <w:r>
        <w:rPr>
          <w:b/>
        </w:rPr>
        <w:lastRenderedPageBreak/>
        <w:t xml:space="preserve">• </w:t>
      </w:r>
      <w:r>
        <w:t>For Australian campaigns, direct marketing by SMS and email requires consent, sender identification, and a working unsubscribe. For telemarketing, businesses also need to account for the Do Not Call Register and related call standards.</w:t>
      </w:r>
    </w:p>
    <w:p w14:paraId="6B9E3ECB" w14:textId="77777777" w:rsidR="003C2763" w:rsidRDefault="00000000">
      <w:pPr>
        <w:pStyle w:val="LBH1"/>
        <w:pBdr>
          <w:bottom w:val="single" w:sz="6" w:space="4" w:color="9ED8E6"/>
        </w:pBdr>
      </w:pPr>
      <w:r>
        <w:t>3. Channel rules and contact logic</w:t>
      </w:r>
    </w:p>
    <w:p w14:paraId="30DBEC1B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Set clear rules for contact frequency, quiet hours, retry attempts, and when the AI must stop.</w:t>
      </w:r>
    </w:p>
    <w:p w14:paraId="7FFD931C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Enable caller identification for voice campaigns and make sure return contact details work.</w:t>
      </w:r>
    </w:p>
    <w:p w14:paraId="3E018811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Use channel-specific rules. A compliant email process is not automatically a compliant voice process.</w:t>
      </w:r>
    </w:p>
    <w:p w14:paraId="5BCDC76B" w14:textId="77777777" w:rsidR="003C2763" w:rsidRDefault="00000000">
      <w:pPr>
        <w:pStyle w:val="LBH1"/>
        <w:pBdr>
          <w:bottom w:val="single" w:sz="6" w:space="4" w:color="9ED8E6"/>
        </w:pBdr>
      </w:pPr>
      <w:r>
        <w:t>4. Brand controls and approved messaging</w:t>
      </w:r>
    </w:p>
    <w:p w14:paraId="00684C8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Create approved opening lines, value propositions, objection responses, and call-to-action options before the agent goes live.</w:t>
      </w:r>
    </w:p>
    <w:p w14:paraId="3C4BDBA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Define banned claims and restricted topics such as pricing promises, legal statements, medical claims, guarantees, or anything likely to mislead.</w:t>
      </w:r>
    </w:p>
    <w:p w14:paraId="4535CFD6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Give the AI a clear tone guide: concise, respectful, helpful, and easy to identify as representing your business.</w:t>
      </w:r>
    </w:p>
    <w:p w14:paraId="3C7321E1" w14:textId="77777777" w:rsidR="003C2763" w:rsidRDefault="00000000">
      <w:pPr>
        <w:pStyle w:val="LBH1"/>
        <w:pBdr>
          <w:bottom w:val="single" w:sz="6" w:space="4" w:color="9ED8E6"/>
        </w:pBdr>
      </w:pPr>
      <w:r>
        <w:t>5. Human oversight and escalation</w:t>
      </w:r>
    </w:p>
    <w:p w14:paraId="27E7861D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Set triggers that move a conversation to a human: complaint language, requests to stop, billing issues, sensitive data, unusual objections, or high-value opportunities.</w:t>
      </w:r>
    </w:p>
    <w:p w14:paraId="7810C40C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Document who receives escalations, how fast they respond, and what happens if no one is available.</w:t>
      </w:r>
    </w:p>
    <w:p w14:paraId="363E056F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Do not let the AI improvise through compliance-sensitive situations.</w:t>
      </w:r>
    </w:p>
    <w:p w14:paraId="04633D95" w14:textId="77777777" w:rsidR="003C2763" w:rsidRDefault="00000000">
      <w:pPr>
        <w:pStyle w:val="LBH1"/>
        <w:pBdr>
          <w:bottom w:val="single" w:sz="6" w:space="4" w:color="9ED8E6"/>
        </w:pBdr>
      </w:pPr>
      <w:r>
        <w:t>6. Privacy, data handling and system access</w:t>
      </w:r>
    </w:p>
    <w:p w14:paraId="6E3E30D4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Limit the data the AI agent can access. Only give it what it needs to perform the campaign.</w:t>
      </w:r>
    </w:p>
    <w:p w14:paraId="62E41B97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Check that CRM fields, enrichment tools, diallers, inboxes, and messaging systems all follow your access rules and retention settings.</w:t>
      </w:r>
    </w:p>
    <w:p w14:paraId="64036351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Review whether the intended use of personal information matches why it was originally collected.</w:t>
      </w:r>
    </w:p>
    <w:p w14:paraId="7106171B" w14:textId="77777777" w:rsidR="003C2763" w:rsidRDefault="00000000">
      <w:pPr>
        <w:pStyle w:val="LBH1"/>
        <w:pBdr>
          <w:bottom w:val="single" w:sz="6" w:space="4" w:color="9ED8E6"/>
        </w:pBdr>
      </w:pPr>
      <w:r>
        <w:t>7. Testing, approvals and launch control</w:t>
      </w:r>
    </w:p>
    <w:p w14:paraId="11B14A3E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Test the full journey with internal users before any public launch: first contact, replies, edge cases, opt-out flow, escalation, logging, and reporting.</w:t>
      </w:r>
    </w:p>
    <w:p w14:paraId="5979E17F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Use a named approval gate for prompts, message templates, calling scripts, contact lists, and production launch.</w:t>
      </w:r>
    </w:p>
    <w:p w14:paraId="33CCAF16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Start with a small segment first. Treat the first live release like a controlled rollout, not a full-scale blast.</w:t>
      </w:r>
    </w:p>
    <w:p w14:paraId="15479E2F" w14:textId="77777777" w:rsidR="00201741" w:rsidRDefault="00201741">
      <w:pPr>
        <w:pStyle w:val="LBBody"/>
        <w:spacing w:after="40"/>
        <w:ind w:left="170"/>
      </w:pPr>
    </w:p>
    <w:p w14:paraId="4E65B2B0" w14:textId="77777777" w:rsidR="003C2763" w:rsidRDefault="00000000">
      <w:pPr>
        <w:pStyle w:val="LBH1"/>
        <w:pBdr>
          <w:bottom w:val="single" w:sz="6" w:space="4" w:color="9ED8E6"/>
        </w:pBdr>
      </w:pPr>
      <w:r>
        <w:lastRenderedPageBreak/>
        <w:t>8. Reporting, complaints and continuous control</w:t>
      </w:r>
    </w:p>
    <w:p w14:paraId="2E84DFA8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Track operational metrics and risk metrics together: delivery, answer rate, reply rate, meeting rate, unsubscribe rate, complaint rate, escalation rate, and blocked or spam-labelled outcomes.</w:t>
      </w:r>
    </w:p>
    <w:p w14:paraId="3A850214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Create a fast stop process if the campaign produces unusual complaints, low-quality conversations, or brand risk.</w:t>
      </w:r>
    </w:p>
    <w:p w14:paraId="1BAD8F2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 xml:space="preserve">Review logs, transcripts, and outcomes regularly so the campaign improves without drifting </w:t>
      </w:r>
      <w:proofErr w:type="gramStart"/>
      <w:r>
        <w:t>off-policy</w:t>
      </w:r>
      <w:proofErr w:type="gramEnd"/>
      <w:r>
        <w:t>.</w:t>
      </w:r>
    </w:p>
    <w:p w14:paraId="08BA69AD" w14:textId="77777777" w:rsidR="00201741" w:rsidRDefault="00201741">
      <w:pPr>
        <w:pStyle w:val="LBBody"/>
        <w:spacing w:after="40"/>
        <w:ind w:left="170"/>
      </w:pPr>
    </w:p>
    <w:p w14:paraId="6C58EB55" w14:textId="77777777" w:rsidR="003C2763" w:rsidRDefault="00000000">
      <w:pPr>
        <w:pStyle w:val="LBH1"/>
        <w:pBdr>
          <w:bottom w:val="single" w:sz="6" w:space="4" w:color="9ED8E6"/>
        </w:pBdr>
      </w:pPr>
      <w:r>
        <w:t>Minimum policy set before launch</w:t>
      </w:r>
    </w:p>
    <w:p w14:paraId="2A490FDF" w14:textId="77777777" w:rsidR="003C2763" w:rsidRDefault="00000000">
      <w:pPr>
        <w:pStyle w:val="LBBody"/>
      </w:pPr>
      <w:r>
        <w:t>If these are missing, the campaign is not ready for scale.</w:t>
      </w:r>
    </w:p>
    <w:p w14:paraId="4FF29861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Consent and suppression policy</w:t>
      </w:r>
    </w:p>
    <w:p w14:paraId="28CCAE30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Approved script and tone guide</w:t>
      </w:r>
    </w:p>
    <w:p w14:paraId="4F431EF5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Escalation and complaint handling path</w:t>
      </w:r>
    </w:p>
    <w:p w14:paraId="5D078DB2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Prompt and template approval process</w:t>
      </w:r>
    </w:p>
    <w:p w14:paraId="05D3C6B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Channel-specific send/call rules</w:t>
      </w:r>
    </w:p>
    <w:p w14:paraId="287A7D1F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Data access and retention rules</w:t>
      </w:r>
    </w:p>
    <w:p w14:paraId="7E1EDBA9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Campaign stop and incident escalation rule</w:t>
      </w:r>
    </w:p>
    <w:p w14:paraId="00DDD497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Weekly review and reporting cadence</w:t>
      </w:r>
    </w:p>
    <w:p w14:paraId="59315170" w14:textId="77777777" w:rsidR="003C2763" w:rsidRDefault="00000000">
      <w:r>
        <w:br w:type="page"/>
      </w:r>
    </w:p>
    <w:p w14:paraId="540E1273" w14:textId="77777777" w:rsidR="003C2763" w:rsidRDefault="00000000">
      <w:pPr>
        <w:pStyle w:val="LBH1"/>
        <w:pBdr>
          <w:bottom w:val="single" w:sz="6" w:space="4" w:color="9ED8E6"/>
        </w:pBdr>
      </w:pPr>
      <w:r>
        <w:lastRenderedPageBreak/>
        <w:t>Pre-launch guardrails checklist</w:t>
      </w:r>
    </w:p>
    <w:p w14:paraId="04BFF2F5" w14:textId="77777777" w:rsidR="00201741" w:rsidRDefault="00201741">
      <w:pPr>
        <w:pStyle w:val="LBBody"/>
      </w:pPr>
    </w:p>
    <w:p w14:paraId="3AE6A623" w14:textId="7274C53F" w:rsidR="003C2763" w:rsidRDefault="00000000">
      <w:pPr>
        <w:pStyle w:val="LBBody"/>
      </w:pPr>
      <w:r>
        <w:t>Use this as a simple internal sign-off before any outbound AI campaign goes live.</w:t>
      </w:r>
    </w:p>
    <w:p w14:paraId="6E273E17" w14:textId="77777777" w:rsidR="00201741" w:rsidRDefault="00201741">
      <w:pPr>
        <w:pStyle w:val="LBBody"/>
      </w:pPr>
    </w:p>
    <w:tbl>
      <w:tblPr>
        <w:tblStyle w:val="TableGrid"/>
        <w:tblW w:w="0" w:type="auto"/>
        <w:jc w:val="center"/>
        <w:tblBorders>
          <w:top w:val="single" w:sz="8" w:space="0" w:color="C7D3E3"/>
          <w:left w:val="single" w:sz="8" w:space="0" w:color="C7D3E3"/>
          <w:bottom w:val="single" w:sz="8" w:space="0" w:color="C7D3E3"/>
          <w:right w:val="single" w:sz="8" w:space="0" w:color="C7D3E3"/>
          <w:insideH w:val="single" w:sz="8" w:space="0" w:color="C7D3E3"/>
          <w:insideV w:val="single" w:sz="8" w:space="0" w:color="C7D3E3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6768"/>
        <w:gridCol w:w="1152"/>
      </w:tblGrid>
      <w:tr w:rsidR="003C2763" w14:paraId="543E61DE" w14:textId="77777777">
        <w:trPr>
          <w:jc w:val="center"/>
        </w:trPr>
        <w:tc>
          <w:tcPr>
            <w:tcW w:w="2232" w:type="dxa"/>
            <w:shd w:val="clear" w:color="auto" w:fill="0B1530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D8056D2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b/>
                <w:color w:val="FFFFFF"/>
              </w:rPr>
              <w:t>Control area</w:t>
            </w:r>
          </w:p>
        </w:tc>
        <w:tc>
          <w:tcPr>
            <w:tcW w:w="6768" w:type="dxa"/>
            <w:shd w:val="clear" w:color="auto" w:fill="0B1530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F8F826A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b/>
                <w:color w:val="FFFFFF"/>
              </w:rPr>
              <w:t>What good looks like</w:t>
            </w:r>
          </w:p>
        </w:tc>
        <w:tc>
          <w:tcPr>
            <w:tcW w:w="1152" w:type="dxa"/>
            <w:shd w:val="clear" w:color="auto" w:fill="0B1530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F8B0B54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b/>
                <w:color w:val="FFFFFF"/>
              </w:rPr>
              <w:t>Status</w:t>
            </w:r>
          </w:p>
        </w:tc>
      </w:tr>
      <w:tr w:rsidR="003C2763" w14:paraId="7DE64670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83D5F02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Commercial fit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572B600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We can explain the revenue goal and why this campaign should exist.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CBD1BF3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6841ADFE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06293EFC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Use case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7620C9B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The AI is solving one defined outbound job, not trying to do everything.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078A85F5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3C356CB2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ABCC6A2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List source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71D1B20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We know exactly where the contact list came from.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2A69881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6702E12B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897CEB7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Consent record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22E22B75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We can verify the contact permissions for the relevant channel.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59A9ED56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77E6EB52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4852228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Suppression rules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27C5C2E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Opt-outs, exclusions, and prohibited contacts are removed before send or call.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7E93018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60268660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0DEAA7D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Channel rules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293F676F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Calling windows, frequency caps, quiet hours, and retry logic are configured.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006FE811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08243B0A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40FE058A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Brand script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C275D51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Openers, key messages, and off-limits claims are approved.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D33D2A1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3C087164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0F9AC39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Human handoff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550EC63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There is a live escalation path for complaints, sensitive cases, and hot leads.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C89582B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0F1B913B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2AF2E844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Data access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43C53180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The AI only has access to approved systems and approved fields.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7F08C932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3CA103B4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2F9F46E5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Testing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0C6F9D74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We have tested normal conversations, edge cases, and opt-out scenarios.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0F831F3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4DFFC324" w14:textId="77777777">
        <w:trPr>
          <w:jc w:val="center"/>
        </w:trPr>
        <w:tc>
          <w:tcPr>
            <w:tcW w:w="223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0817F4B9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Logging</w:t>
            </w:r>
          </w:p>
        </w:tc>
        <w:tc>
          <w:tcPr>
            <w:tcW w:w="6768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1A141901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We can trace prompts, messages, approvals, contact sources, and outcomes.</w:t>
            </w:r>
          </w:p>
        </w:tc>
        <w:tc>
          <w:tcPr>
            <w:tcW w:w="1152" w:type="dxa"/>
            <w:shd w:val="clear" w:color="auto" w:fill="F9FBFE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100FECE5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  <w:tr w:rsidR="003C2763" w14:paraId="02412A7C" w14:textId="77777777">
        <w:trPr>
          <w:jc w:val="center"/>
        </w:trPr>
        <w:tc>
          <w:tcPr>
            <w:tcW w:w="223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7EE0D86" w14:textId="77777777" w:rsidR="003C2763" w:rsidRDefault="00000000">
            <w:pPr>
              <w:pStyle w:val="LBBody"/>
              <w:spacing w:after="0"/>
            </w:pPr>
            <w:r>
              <w:rPr>
                <w:b/>
                <w:sz w:val="20"/>
              </w:rPr>
              <w:t>Stop rule</w:t>
            </w:r>
          </w:p>
        </w:tc>
        <w:tc>
          <w:tcPr>
            <w:tcW w:w="6768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3289B887" w14:textId="77777777" w:rsidR="003C2763" w:rsidRDefault="00000000">
            <w:pPr>
              <w:pStyle w:val="LBBody"/>
              <w:spacing w:after="0"/>
            </w:pPr>
            <w:r>
              <w:rPr>
                <w:sz w:val="20"/>
              </w:rPr>
              <w:t>A named owner can pause or stop the campaign immediately if risk appears.</w:t>
            </w:r>
          </w:p>
        </w:tc>
        <w:tc>
          <w:tcPr>
            <w:tcW w:w="1152" w:type="dxa"/>
            <w:shd w:val="clear" w:color="auto" w:fill="FFFFFF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6878EDA1" w14:textId="77777777" w:rsidR="003C2763" w:rsidRDefault="00000000">
            <w:pPr>
              <w:pStyle w:val="LBBody"/>
              <w:spacing w:after="0"/>
              <w:jc w:val="center"/>
            </w:pPr>
            <w:r>
              <w:rPr>
                <w:sz w:val="26"/>
              </w:rPr>
              <w:t>☐</w:t>
            </w:r>
          </w:p>
        </w:tc>
      </w:tr>
    </w:tbl>
    <w:p w14:paraId="1907873A" w14:textId="77777777" w:rsidR="003C2763" w:rsidRDefault="003C2763"/>
    <w:p w14:paraId="50BD7DE3" w14:textId="77777777" w:rsidR="00201741" w:rsidRDefault="00201741">
      <w:pPr>
        <w:pStyle w:val="LBH1"/>
        <w:pBdr>
          <w:bottom w:val="single" w:sz="6" w:space="4" w:color="9ED8E6"/>
        </w:pBdr>
      </w:pPr>
    </w:p>
    <w:p w14:paraId="50DB8E0B" w14:textId="52D8583A" w:rsidR="003C2763" w:rsidRDefault="00000000">
      <w:pPr>
        <w:pStyle w:val="LBH1"/>
        <w:pBdr>
          <w:bottom w:val="single" w:sz="6" w:space="4" w:color="9ED8E6"/>
        </w:pBdr>
      </w:pPr>
      <w:r>
        <w:lastRenderedPageBreak/>
        <w:t>Common failure points</w:t>
      </w:r>
    </w:p>
    <w:p w14:paraId="11E521E7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Buying or importing lists without clear consent evidence.</w:t>
      </w:r>
    </w:p>
    <w:p w14:paraId="1E524F98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Letting AI personalise messaging using data the business should not be using that way.</w:t>
      </w:r>
    </w:p>
    <w:p w14:paraId="56C4484B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No single owner for complaints, escalation, or pause decisions.</w:t>
      </w:r>
    </w:p>
    <w:p w14:paraId="4316496D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Too many retries, poor caller reputation, or repeated contact after an opt-out.</w:t>
      </w:r>
    </w:p>
    <w:p w14:paraId="490BAED1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Scripts that sound deceptive, vague, or too aggressive.</w:t>
      </w:r>
    </w:p>
    <w:p w14:paraId="603E680F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No review loop for transcripts, prompts, or complaint signals.</w:t>
      </w:r>
    </w:p>
    <w:p w14:paraId="798BCB84" w14:textId="77777777" w:rsidR="00201741" w:rsidRDefault="00201741">
      <w:pPr>
        <w:pStyle w:val="LBBody"/>
        <w:spacing w:after="40"/>
        <w:ind w:left="170"/>
      </w:pPr>
    </w:p>
    <w:p w14:paraId="00AFA425" w14:textId="6D38D490" w:rsidR="00201741" w:rsidRDefault="00000000">
      <w:pPr>
        <w:pStyle w:val="LBH1"/>
        <w:pBdr>
          <w:bottom w:val="single" w:sz="6" w:space="4" w:color="9ED8E6"/>
        </w:pBdr>
      </w:pPr>
      <w:r>
        <w:t>What strong outbound AI looks like</w:t>
      </w:r>
    </w:p>
    <w:p w14:paraId="6953C294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A narrow use case with a clear commercial target.</w:t>
      </w:r>
    </w:p>
    <w:p w14:paraId="4D5C9576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Clean contact data and provable permissions.</w:t>
      </w:r>
    </w:p>
    <w:p w14:paraId="73DEA6B5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Approved scripts, tone rules, and escalation logic.</w:t>
      </w:r>
    </w:p>
    <w:p w14:paraId="3FAE5B99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Human review for risk events and sensitive interactions.</w:t>
      </w:r>
    </w:p>
    <w:p w14:paraId="1EFCE183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Live reporting that balances revenue outcomes with complaint and unsubscribe signals.</w:t>
      </w:r>
    </w:p>
    <w:p w14:paraId="66642BC4" w14:textId="77777777" w:rsidR="003C2763" w:rsidRDefault="00000000">
      <w:pPr>
        <w:pStyle w:val="LBBody"/>
        <w:spacing w:after="40"/>
        <w:ind w:left="170"/>
      </w:pPr>
      <w:r>
        <w:rPr>
          <w:b/>
        </w:rPr>
        <w:t xml:space="preserve">• </w:t>
      </w:r>
      <w:r>
        <w:t>A campaign owner who can stop the system quickly.</w:t>
      </w:r>
    </w:p>
    <w:p w14:paraId="2BEFDB7E" w14:textId="77777777" w:rsidR="003C2763" w:rsidRDefault="003C2763"/>
    <w:tbl>
      <w:tblPr>
        <w:tblStyle w:val="TableGrid"/>
        <w:tblW w:w="0" w:type="auto"/>
        <w:jc w:val="center"/>
        <w:tblBorders>
          <w:top w:val="single" w:sz="8" w:space="0" w:color="C7D3E3"/>
          <w:left w:val="single" w:sz="8" w:space="0" w:color="C7D3E3"/>
          <w:bottom w:val="single" w:sz="8" w:space="0" w:color="C7D3E3"/>
          <w:right w:val="single" w:sz="8" w:space="0" w:color="C7D3E3"/>
          <w:insideH w:val="single" w:sz="8" w:space="0" w:color="C7D3E3"/>
          <w:insideV w:val="single" w:sz="8" w:space="0" w:color="C7D3E3"/>
        </w:tblBorders>
        <w:tblLayout w:type="fixed"/>
        <w:tblLook w:val="04A0" w:firstRow="1" w:lastRow="0" w:firstColumn="1" w:lastColumn="0" w:noHBand="0" w:noVBand="1"/>
      </w:tblPr>
      <w:tblGrid>
        <w:gridCol w:w="10200"/>
      </w:tblGrid>
      <w:tr w:rsidR="003C2763" w14:paraId="3F6C7525" w14:textId="77777777">
        <w:trPr>
          <w:jc w:val="center"/>
        </w:trPr>
        <w:tc>
          <w:tcPr>
            <w:tcW w:w="10200" w:type="dxa"/>
            <w:tcBorders>
              <w:top w:val="single" w:sz="10" w:space="0" w:color="16D4FF"/>
              <w:left w:val="single" w:sz="10" w:space="0" w:color="16D4FF"/>
              <w:bottom w:val="single" w:sz="10" w:space="0" w:color="16D4FF"/>
              <w:right w:val="single" w:sz="10" w:space="0" w:color="16D4FF"/>
            </w:tcBorders>
            <w:shd w:val="clear" w:color="auto" w:fill="F3F7FB"/>
            <w:tcMar>
              <w:top w:w="95" w:type="dxa"/>
              <w:left w:w="120" w:type="dxa"/>
              <w:bottom w:w="95" w:type="dxa"/>
              <w:right w:w="120" w:type="dxa"/>
            </w:tcMar>
            <w:vAlign w:val="center"/>
          </w:tcPr>
          <w:p w14:paraId="2BC429B8" w14:textId="77777777" w:rsidR="003C2763" w:rsidRDefault="00000000">
            <w:pPr>
              <w:pStyle w:val="LBH2"/>
            </w:pPr>
            <w:r>
              <w:t>Where LB Labs helps</w:t>
            </w:r>
          </w:p>
          <w:p w14:paraId="1F81537C" w14:textId="77777777" w:rsidR="00EE7ABF" w:rsidRDefault="00000000">
            <w:pPr>
              <w:pStyle w:val="LBBody"/>
              <w:spacing w:before="40"/>
            </w:pPr>
            <w:r>
              <w:t>LB Labs helps teams design outbound AI systems that are commercially useful, operationally realistic, and controlled enough to protect the brand.</w:t>
            </w:r>
            <w:r>
              <w:br/>
              <w:t>That usually means scoping the right use case, cleaning the workflow, setting the guardrails, integrating the stack, and measuring the campaign properly after launch.</w:t>
            </w:r>
            <w:r>
              <w:br/>
              <w:t>Use this guide as your pre-launch filter. If several controls are weak or undefined, fix them before scale.</w:t>
            </w:r>
          </w:p>
        </w:tc>
      </w:tr>
    </w:tbl>
    <w:p w14:paraId="3ED6CFA7" w14:textId="77777777" w:rsidR="003C2763" w:rsidRDefault="003C2763"/>
    <w:p w14:paraId="6BA342D5" w14:textId="77777777" w:rsidR="00201741" w:rsidRDefault="00201741"/>
    <w:p w14:paraId="6A5FBA7E" w14:textId="77777777" w:rsidR="00201741" w:rsidRDefault="00201741"/>
    <w:p w14:paraId="28A24FC1" w14:textId="77777777" w:rsidR="00201741" w:rsidRDefault="00201741"/>
    <w:p w14:paraId="51E910E2" w14:textId="77777777" w:rsidR="003C2763" w:rsidRDefault="00000000">
      <w:pPr>
        <w:pStyle w:val="LBSmall"/>
      </w:pPr>
      <w:r>
        <w:t>Built around current guidance from ACMA, the Do Not Call Register, OAIC privacy guidance, and NIST AI risk management principles.</w:t>
      </w:r>
    </w:p>
    <w:sectPr w:rsidR="003C2763" w:rsidSect="00603FE2">
      <w:headerReference w:type="default" r:id="rId8"/>
      <w:pgSz w:w="15840" w:h="12240" w:orient="landscape"/>
      <w:pgMar w:top="864" w:right="1037" w:bottom="864" w:left="10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420D0" w14:textId="77777777" w:rsidR="00543918" w:rsidRDefault="00543918" w:rsidP="00201741">
      <w:pPr>
        <w:spacing w:after="0" w:line="240" w:lineRule="auto"/>
      </w:pPr>
      <w:r>
        <w:separator/>
      </w:r>
    </w:p>
  </w:endnote>
  <w:endnote w:type="continuationSeparator" w:id="0">
    <w:p w14:paraId="79502ACA" w14:textId="77777777" w:rsidR="00543918" w:rsidRDefault="00543918" w:rsidP="0020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65A9A" w14:textId="77777777" w:rsidR="00543918" w:rsidRDefault="00543918" w:rsidP="00201741">
      <w:pPr>
        <w:spacing w:after="0" w:line="240" w:lineRule="auto"/>
      </w:pPr>
      <w:r>
        <w:separator/>
      </w:r>
    </w:p>
  </w:footnote>
  <w:footnote w:type="continuationSeparator" w:id="0">
    <w:p w14:paraId="12FE47D0" w14:textId="77777777" w:rsidR="00543918" w:rsidRDefault="00543918" w:rsidP="0020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E34DD" w14:textId="2F279E42" w:rsidR="00201741" w:rsidRDefault="00201741" w:rsidP="00201741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EF28B0" wp14:editId="4D05D4C9">
          <wp:simplePos x="0" y="0"/>
          <wp:positionH relativeFrom="column">
            <wp:posOffset>4065905</wp:posOffset>
          </wp:positionH>
          <wp:positionV relativeFrom="paragraph">
            <wp:posOffset>-409575</wp:posOffset>
          </wp:positionV>
          <wp:extent cx="485775" cy="517477"/>
          <wp:effectExtent l="0" t="0" r="0" b="0"/>
          <wp:wrapNone/>
          <wp:docPr id="709486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486465" name="Picture 7094864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9591" cy="521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47038952">
    <w:abstractNumId w:val="8"/>
  </w:num>
  <w:num w:numId="2" w16cid:durableId="161051294">
    <w:abstractNumId w:val="6"/>
  </w:num>
  <w:num w:numId="3" w16cid:durableId="1352606206">
    <w:abstractNumId w:val="5"/>
  </w:num>
  <w:num w:numId="4" w16cid:durableId="409885259">
    <w:abstractNumId w:val="4"/>
  </w:num>
  <w:num w:numId="5" w16cid:durableId="1224216477">
    <w:abstractNumId w:val="7"/>
  </w:num>
  <w:num w:numId="6" w16cid:durableId="913004388">
    <w:abstractNumId w:val="3"/>
  </w:num>
  <w:num w:numId="7" w16cid:durableId="1665039697">
    <w:abstractNumId w:val="2"/>
  </w:num>
  <w:num w:numId="8" w16cid:durableId="1937472650">
    <w:abstractNumId w:val="1"/>
  </w:num>
  <w:num w:numId="9" w16cid:durableId="175100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5FE2"/>
    <w:rsid w:val="0006063C"/>
    <w:rsid w:val="0015074B"/>
    <w:rsid w:val="001B340E"/>
    <w:rsid w:val="00201741"/>
    <w:rsid w:val="0029639D"/>
    <w:rsid w:val="00326F90"/>
    <w:rsid w:val="003C2763"/>
    <w:rsid w:val="00543918"/>
    <w:rsid w:val="00603FE2"/>
    <w:rsid w:val="00AA1D8D"/>
    <w:rsid w:val="00B47730"/>
    <w:rsid w:val="00CB0664"/>
    <w:rsid w:val="00E5679F"/>
    <w:rsid w:val="00EE7AB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BED7A8"/>
  <w14:defaultImageDpi w14:val="300"/>
  <w15:docId w15:val="{D95E920A-540B-4CD9-8D0B-3768D189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ptos" w:hAnsi="Aptos"/>
      <w:color w:val="1C2430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2233D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2233D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5A6270"/>
      <w:spacing w:val="15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BBody">
    <w:name w:val="LB Body"/>
    <w:basedOn w:val="Normal"/>
    <w:pPr>
      <w:spacing w:after="100"/>
    </w:pPr>
  </w:style>
  <w:style w:type="paragraph" w:customStyle="1" w:styleId="LBH1">
    <w:name w:val="LB H1"/>
    <w:basedOn w:val="Normal"/>
    <w:pPr>
      <w:spacing w:before="200" w:after="80"/>
    </w:pPr>
    <w:rPr>
      <w:rFonts w:ascii="Aptos Display" w:hAnsi="Aptos Display"/>
      <w:b/>
      <w:color w:val="0B1530"/>
      <w:sz w:val="28"/>
    </w:rPr>
  </w:style>
  <w:style w:type="paragraph" w:customStyle="1" w:styleId="LBH2">
    <w:name w:val="LB H2"/>
    <w:basedOn w:val="Normal"/>
    <w:pPr>
      <w:spacing w:after="40"/>
    </w:pPr>
    <w:rPr>
      <w:rFonts w:ascii="Aptos Display" w:hAnsi="Aptos Display"/>
      <w:b/>
      <w:color w:val="0B1530"/>
      <w:sz w:val="23"/>
    </w:rPr>
  </w:style>
  <w:style w:type="paragraph" w:customStyle="1" w:styleId="LBSmall">
    <w:name w:val="LB Small"/>
    <w:basedOn w:val="Normal"/>
    <w:rPr>
      <w:color w:val="5A6473"/>
      <w:sz w:val="17"/>
    </w:rPr>
  </w:style>
  <w:style w:type="paragraph" w:customStyle="1" w:styleId="LBHero">
    <w:name w:val="LB Hero"/>
    <w:basedOn w:val="Normal"/>
    <w:rPr>
      <w:rFonts w:ascii="Aptos Display" w:hAnsi="Aptos Display"/>
      <w:b/>
      <w:color w:val="FFFFFF"/>
      <w:sz w:val="48"/>
    </w:rPr>
  </w:style>
  <w:style w:type="paragraph" w:customStyle="1" w:styleId="LBBrand">
    <w:name w:val="LB Brand"/>
    <w:basedOn w:val="Normal"/>
    <w:rPr>
      <w:b/>
      <w:color w:val="16D4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1134</Words>
  <Characters>6387</Characters>
  <Application>Microsoft Office Word</Application>
  <DocSecurity>0</DocSecurity>
  <Lines>135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Akif Sen</cp:lastModifiedBy>
  <cp:revision>2</cp:revision>
  <cp:lastPrinted>2026-03-12T06:55:00Z</cp:lastPrinted>
  <dcterms:created xsi:type="dcterms:W3CDTF">2026-03-12T06:55:00Z</dcterms:created>
  <dcterms:modified xsi:type="dcterms:W3CDTF">2026-03-12T06:55:00Z</dcterms:modified>
  <cp:category/>
</cp:coreProperties>
</file>